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6202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C3D03"/>
          <w:kern w:val="36"/>
          <w:sz w:val="48"/>
          <w:szCs w:val="48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36"/>
          <w:sz w:val="48"/>
          <w:szCs w:val="48"/>
          <w:lang w:eastAsia="de-DE"/>
          <w14:ligatures w14:val="none"/>
        </w:rPr>
        <w:t>Change-Dokumentation zur Validierung – Release-Wechsel von KAB-Wiki zu KABQ</w:t>
      </w:r>
    </w:p>
    <w:p w14:paraId="66D0BFBD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bdr w:val="single" w:sz="2" w:space="0" w:color="E5E7EB" w:frame="1"/>
          <w:lang w:eastAsia="de-DE"/>
          <w14:ligatures w14:val="none"/>
        </w:rPr>
        <w:t>1. Hintergrund und Zielsetzung</w:t>
      </w:r>
    </w:p>
    <w:p w14:paraId="7158ADC4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KAB-Wiki ist ein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-konformes Dokumentenmanagementsystem (DMS), das bei regulierten Unternehmen, insbesondere im Arzneimittel- und Medizinproduktebereich, zur Verwaltung qualitätsrelevanter Dokumente eingesetzt wird. Im Zuge eines strategischen Weiterentwicklungsprozesses wird das System technisch, funktional und organisatorisch umfassend modernisiert und unter dem neuen Namen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KABQ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weitergeführt. Die Namensänderung reflektiert die Tatsache, dass das System inzwischen mehr als nur ein Wiki ist und zunehmend als zentrales Werkzeug im Qualitätsmanagement (QMS) dient.</w:t>
      </w:r>
    </w:p>
    <w:p w14:paraId="720F3EEC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Ziele dieses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Changes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sind: - die Verbesserung von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Skalierbarkeit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und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Ausfallsicherheit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- die Erweiterung um 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-relevante Funktionen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- die Sicherstellung einer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kontinuierlichen, vertraglich abgesicherten Weiterentwicklung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- die Einhaltung aktueller regulatorischer Anforderungen gemäß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EU GMP Annex 11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und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GAMP 5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- die Integration eines strukturierten Entwicklungsprozesses mit verbesserter Dokumentation, - sowie eine gesteigerte Benutzerfreundlichkeit und langfristige Wartbarkeit.</w:t>
      </w:r>
    </w:p>
    <w:p w14:paraId="4DEDD434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Die Validierung dieses Releases erfolgt risikobasiert gemäß den Prinzipien von EU GMP Annes 11 und GAMP 5, wobei patientenbezogene Risiken, Produktqualität und Datenintegrität im Mittelpunkt stehen.</w:t>
      </w:r>
    </w:p>
    <w:p w14:paraId="37F29B18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bdr w:val="single" w:sz="2" w:space="0" w:color="E5E7EB" w:frame="1"/>
          <w:lang w:eastAsia="de-DE"/>
          <w14:ligatures w14:val="none"/>
        </w:rPr>
        <w:t>2. Beschreibung der Änderung</w:t>
      </w:r>
    </w:p>
    <w:p w14:paraId="7134B724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 xml:space="preserve">2.1 Technologiewechsel: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Kubernetes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 xml:space="preserve"> zu </w:t>
      </w:r>
      <w:proofErr w:type="gram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AWS Lambda</w:t>
      </w:r>
      <w:proofErr w:type="gramEnd"/>
    </w:p>
    <w:p w14:paraId="0E62CE9A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Das bisherige KAB-Wiki basierte auf einem monolithischen Aufbau innerhalb eines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Kubernetes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-Clusters. Im Rahmen des neuen Releases wird das System in eine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 moderne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Serverless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-Architektur überführt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konkret unter Verwendung von </w:t>
      </w:r>
      <w:proofErr w:type="gram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AWS Lambda</w:t>
      </w:r>
      <w:proofErr w:type="gram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 und zugehörigen Cloud-Komponenten (z. B. S3, </w:t>
      </w:r>
      <w:proofErr w:type="gram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API Gateway</w:t>
      </w:r>
      <w:proofErr w:type="gram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,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DynamoDB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). Diese Umstellung bringt folgende Vorteile mit sich:</w:t>
      </w:r>
    </w:p>
    <w:p w14:paraId="7F9C9A6C" w14:textId="77777777" w:rsidR="00634861" w:rsidRPr="00634861" w:rsidRDefault="00634861" w:rsidP="006348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automatische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Lastverteilung und horizontale Skalierung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</w:t>
      </w:r>
    </w:p>
    <w:p w14:paraId="35DD0F15" w14:textId="77777777" w:rsidR="00634861" w:rsidRPr="00634861" w:rsidRDefault="00634861" w:rsidP="006348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redundanter Betrieb in mehreren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Availability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Zones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(hohe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Ausfallsicherheit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),</w:t>
      </w:r>
    </w:p>
    <w:p w14:paraId="7C98570A" w14:textId="77777777" w:rsidR="00634861" w:rsidRPr="00634861" w:rsidRDefault="00634861" w:rsidP="006348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Wegfall des Infrastrukturmanagements,</w:t>
      </w:r>
    </w:p>
    <w:p w14:paraId="7B502698" w14:textId="77777777" w:rsidR="00634861" w:rsidRPr="00634861" w:rsidRDefault="00634861" w:rsidP="006348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dynamische Ressourcenbereitstellung je nach Nutzerlast,</w:t>
      </w:r>
    </w:p>
    <w:p w14:paraId="4CE5A11C" w14:textId="77777777" w:rsidR="00634861" w:rsidRPr="00634861" w:rsidRDefault="00634861" w:rsidP="00634861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verbesserte Integration in bestehende Unternehmensnetzwerke und -prozesse.</w:t>
      </w:r>
    </w:p>
    <w:p w14:paraId="20628DCF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Durch diesen Wechsel wird nicht nur die technische Zukunftsfähigkeit sichergestellt, sondern auch die Grundlage für kontinuierliche funktionale Erweiterungen geschaffen.</w:t>
      </w:r>
    </w:p>
    <w:p w14:paraId="7FE7017B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 xml:space="preserve">2.2 Wechsel des Entwicklungspartners: NUBS GmbH zu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codecentric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 xml:space="preserve"> AG</w:t>
      </w:r>
    </w:p>
    <w:p w14:paraId="5C30D03B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Bisher wurde die Softwareentwicklung durch die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NUBS GmbH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, ein spezialisiertes kleines Softwareunternehmen, betreut. Zukünftig wird die Weiterentwicklung und Wartung durch 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lastRenderedPageBreak/>
        <w:t>die 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codecentric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AG übernommen, ein großes deutsches IT-Beratungsunternehmen mit über 500 Mitarbeitenden und umfangreicher Erfahrung im Bereich regulierter Softwareprojekte.</w:t>
      </w:r>
    </w:p>
    <w:p w14:paraId="57B14DB6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Wichtig: Der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bestehende Code-Kern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der NUBS GmbH bleibt erhalten, wird jedoch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vollumfänglich durch das Entwicklungsteam von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codecentric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reviewed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 und überarbeitet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. Bewährte Bestandteile des Systems werden somit erhalten und gleichzeitig modernisiert. Die Weiterentwicklung erfolgt unter Einhaltung eines strukturierten Entwicklungsmodells mit nachvollziehbarer Dokumentation und Versionskontrolle.</w:t>
      </w:r>
    </w:p>
    <w:p w14:paraId="47FF16A2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Die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codecentric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AG ist ISO 27001-zertifiziert, was ein dokumentiertes Informationssicherheitsmanagementsystem garantiert. Ein umfassender Vertrag zur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 kontinuierlichen Weiterentwicklung, Wartung und Support 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wurde abgeschlossen, um die Langlebigkeit des Systems sicherzustellen.</w:t>
      </w:r>
    </w:p>
    <w:p w14:paraId="201424B0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 xml:space="preserve">2.3 Funktionale Überarbeitung / Erweiterungen und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-Compliance</w:t>
      </w:r>
    </w:p>
    <w:p w14:paraId="3FD033A0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Zahlreiche Features wurden neu oder weiterentwickelt, um das System an aktuelle regulatorische Anforderungen anzupassen:</w:t>
      </w:r>
    </w:p>
    <w:p w14:paraId="31596A1A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Audit-Trail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: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vollständige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,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nicht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löschbare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Protokollierung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aller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änderungsrelevanten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Aktionen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inkl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.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Benutzer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-ID,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Zeitstempel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Beschreibung</w:t>
      </w:r>
      <w:proofErr w:type="spellEnd"/>
    </w:p>
    <w:p w14:paraId="4E482D47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Erweiterte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elektronische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Signatur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: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Unterstützung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elektronischer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Freigaben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gemäß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EU GMP Annex 11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Abschnitt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14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sowie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21 CFR Part 11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mit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Authentifizierungsanforderungen</w:t>
      </w:r>
      <w:proofErr w:type="spellEnd"/>
    </w:p>
    <w:p w14:paraId="41FDE1B9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Erweiterte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Rechteverwaltung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: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granulare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Rollenkonzepte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mit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dokumentierbaren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Rollenverteilungen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Zugriffskontrollen</w:t>
      </w:r>
      <w:proofErr w:type="spellEnd"/>
    </w:p>
    <w:p w14:paraId="43C94362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Änderungsnachverfolgung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: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 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Vergleich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beliebiger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Revisionen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Entwürfe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mit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Markierung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der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Änderungen</w:t>
      </w:r>
      <w:proofErr w:type="spellEnd"/>
    </w:p>
    <w:p w14:paraId="1B2AE3E4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Nachvollziehbare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Statusmodelle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: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Verbindliche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Workflows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mit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Freigabeschritten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versionierter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Historie</w:t>
      </w:r>
      <w:proofErr w:type="spellEnd"/>
    </w:p>
    <w:p w14:paraId="57755AC6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Revisionssichere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Archivierung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: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Dokumente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werden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schreib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  <w:t>geschützt archiviert, archivierte Version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können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nicht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mehr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verändert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oder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gelöscht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werden</w:t>
      </w:r>
      <w:proofErr w:type="spellEnd"/>
    </w:p>
    <w:p w14:paraId="4C283991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Versionierung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: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 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Eindeutige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Benennung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Versionierung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von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Dokumenten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mit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V</w:t>
      </w:r>
      <w:proofErr w:type="gram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1,V2,Vx.....</w:t>
      </w:r>
      <w:proofErr w:type="gramEnd"/>
    </w:p>
    <w:p w14:paraId="3E354F23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Datensicherung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und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Wiederherstellung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: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 Es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existiert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ein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umfangreiches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Notfallkonzept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, um Daten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kurzfristig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wiederherzustellen</w:t>
      </w:r>
      <w:proofErr w:type="spellEnd"/>
    </w:p>
    <w:p w14:paraId="1E29B4EE" w14:textId="77777777" w:rsidR="00634861" w:rsidRPr="00634861" w:rsidRDefault="00634861" w:rsidP="00634861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ind w:left="1110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"</w:t>
      </w:r>
      <w:proofErr w:type="spellStart"/>
      <w:proofErr w:type="gram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keine</w:t>
      </w:r>
      <w:proofErr w:type="spellEnd"/>
      <w:proofErr w:type="gram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Individuallösungen</w:t>
      </w:r>
      <w:proofErr w:type="spellEnd"/>
      <w:r w:rsidRPr="00634861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":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 Durch den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Wegfall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von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Individuallösungen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bzw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. das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Ausrollen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dieser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Lösungen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auf alle Systeme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wird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der </w:t>
      </w:r>
      <w:proofErr w:type="spellStart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>Validierungsaufwand</w:t>
      </w:r>
      <w:proofErr w:type="spellEnd"/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bdr w:val="single" w:sz="2" w:space="0" w:color="E5E7EB" w:frame="1"/>
          <w:lang w:val="en-US" w:eastAsia="de-DE"/>
          <w14:ligatures w14:val="none"/>
        </w:rPr>
        <w:t xml:space="preserve"> für den Kunden </w:t>
      </w:r>
      <w:r w:rsidRPr="00634861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de-DE"/>
          <w14:ligatures w14:val="none"/>
        </w:rPr>
        <w:t>geringer</w:t>
      </w:r>
    </w:p>
    <w:p w14:paraId="410EBF50" w14:textId="77777777" w:rsid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Die Umsetzung dieser Funktionen erfolgt unter Einbindung der Qualitätsverantwortlichen, die Anforderungen in URS-Dokumenten spezifizieren. Alle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-Funktionen unterliegen einer umfassenden Qualifizierung (IQ/OQ/PQ).</w:t>
      </w:r>
    </w:p>
    <w:p w14:paraId="56C1395F" w14:textId="4DC2D83D" w:rsidR="00634861" w:rsidRDefault="00634861">
      <w:pPr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br w:type="page"/>
      </w:r>
    </w:p>
    <w:p w14:paraId="46EE8296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3718"/>
        <w:gridCol w:w="4109"/>
      </w:tblGrid>
      <w:tr w:rsidR="00634861" w:rsidRPr="00634861" w14:paraId="7B6AC1B8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6DCE4A62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GAMP-Kategorie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1E088824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485B8E31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Relevanz für KABQ</w:t>
            </w:r>
          </w:p>
        </w:tc>
      </w:tr>
      <w:tr w:rsidR="00634861" w:rsidRPr="00634861" w14:paraId="61F83B5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9969A77" w14:textId="77777777" w:rsidR="00634861" w:rsidRPr="00634861" w:rsidRDefault="00634861" w:rsidP="0063486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Kategorie 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1B0B35A" w14:textId="77777777" w:rsidR="00634861" w:rsidRPr="00634861" w:rsidRDefault="00634861" w:rsidP="0063486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Standardsoftware („Commercial Off The </w:t>
            </w:r>
            <w:proofErr w:type="spellStart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Shelf</w:t>
            </w:r>
            <w:proofErr w:type="spellEnd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“, COTS): Software, die „so wie sie ist“ verwendet wird, ggf. mit Parametrierung (z. B. Benutzerrollen, Workflows).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2DD61A7" w14:textId="77777777" w:rsidR="00634861" w:rsidRPr="00634861" w:rsidRDefault="00634861" w:rsidP="0063486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Apple Color Emoji" w:eastAsia="Times New Roman" w:hAnsi="Apple Color Emoji" w:cs="Apple Color Emoji"/>
                <w:color w:val="000000"/>
                <w:kern w:val="0"/>
                <w:lang w:eastAsia="de-DE"/>
                <w14:ligatures w14:val="none"/>
              </w:rPr>
              <w:t>✔️</w:t>
            </w: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 KABQ wird standardisiert bereitgestellt und nur oberflächlich durch den Kunden konfiguriert (z. B. Nutzerrollen, Metadaten, Freigabeabläufe). Keine individuelle Codeänderung pro Kunde.</w:t>
            </w:r>
          </w:p>
        </w:tc>
      </w:tr>
    </w:tbl>
    <w:p w14:paraId="0B08E26E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  <w:t>2.4 Entwicklungsdokumentation und strukturierte Prozesse</w:t>
      </w:r>
    </w:p>
    <w:p w14:paraId="6EE3526D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Die Entwicklung des neuen Systems folgt einem GAMP-konformen Vorgehensmodell mit dokumentierter Softwareentwicklung. Zu den Neuerungen gehören:</w:t>
      </w:r>
    </w:p>
    <w:p w14:paraId="21DE0FD8" w14:textId="77777777" w:rsidR="00634861" w:rsidRPr="00634861" w:rsidRDefault="00634861" w:rsidP="006348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Erstellung von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URS (User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Requirement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Specifications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)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für alle regulatorisch relevanten Funktionen</w:t>
      </w:r>
    </w:p>
    <w:p w14:paraId="5F1288B0" w14:textId="77777777" w:rsidR="00634861" w:rsidRPr="00634861" w:rsidRDefault="00634861" w:rsidP="006348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Erstellung von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FDS (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Functional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 xml:space="preserve"> Design </w:t>
      </w:r>
      <w:proofErr w:type="spellStart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Specifications</w:t>
      </w:r>
      <w:proofErr w:type="spellEnd"/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)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mit dokumentierter Anforderungsumsetzung</w:t>
      </w:r>
    </w:p>
    <w:p w14:paraId="6512C31E" w14:textId="77777777" w:rsidR="00634861" w:rsidRPr="00634861" w:rsidRDefault="00634861" w:rsidP="006348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Durchführung von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Codereviews, Tests und Testprotokollen (OQ/PQ)</w:t>
      </w:r>
    </w:p>
    <w:p w14:paraId="1BD4476B" w14:textId="77777777" w:rsidR="00634861" w:rsidRPr="00634861" w:rsidRDefault="00634861" w:rsidP="006348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Versionierung,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Traceability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und Release-Dokumentation</w:t>
      </w:r>
    </w:p>
    <w:p w14:paraId="39C48E77" w14:textId="77777777" w:rsidR="00634861" w:rsidRPr="00634861" w:rsidRDefault="00634861" w:rsidP="00634861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Dokumentierte Abnahme der Funktionalität durch benannte Validierungsverantwortliche</w:t>
      </w:r>
    </w:p>
    <w:p w14:paraId="449A46B8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Ziel ist die Sicherstellung einer vollständigen Nachvollziehbarkeit im Sinne der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Auditierbarkeit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und Validität.</w:t>
      </w:r>
    </w:p>
    <w:p w14:paraId="6D97D25D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2.5 Friendly User Tests (FUT)</w:t>
      </w:r>
    </w:p>
    <w:p w14:paraId="746E2B99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Vor der finalen Inbetriebnahme des neuen Systems werden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 Friendly User Tests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 mit ausgewählten Key Usern durchgeführt. Diese Tests finden in einer validierten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Staging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-Umgebung statt und haben folgende Ziele:</w:t>
      </w:r>
    </w:p>
    <w:p w14:paraId="418B897D" w14:textId="77777777" w:rsidR="00634861" w:rsidRPr="00634861" w:rsidRDefault="00634861" w:rsidP="006348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Usability-Feedback unter produktionsnahen Bedingungen</w:t>
      </w:r>
    </w:p>
    <w:p w14:paraId="21265275" w14:textId="77777777" w:rsidR="00634861" w:rsidRPr="00634861" w:rsidRDefault="00634861" w:rsidP="006348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Prüfung der Kompatibilität mit realen Arbeitsabläufen</w:t>
      </w:r>
    </w:p>
    <w:p w14:paraId="5636285F" w14:textId="77777777" w:rsidR="00634861" w:rsidRPr="00634861" w:rsidRDefault="00634861" w:rsidP="00634861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Frühzeitiges Erkennen von Übersetzungs-, Workflow- oder Rechteproblemen</w:t>
      </w:r>
    </w:p>
    <w:p w14:paraId="76B7A47E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Die Ergebnisse der Friendly User Tests werden dokumentiert und fließen in die finale Freigabeentscheidung ein.</w:t>
      </w:r>
    </w:p>
    <w:p w14:paraId="7E2E69C2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7"/>
          <w:szCs w:val="27"/>
          <w:bdr w:val="single" w:sz="2" w:space="0" w:color="E5E7EB" w:frame="1"/>
          <w:lang w:eastAsia="de-DE"/>
          <w14:ligatures w14:val="none"/>
        </w:rPr>
        <w:t>2.6 Umbenennung von KAB-Wiki zu KABQ</w:t>
      </w:r>
    </w:p>
    <w:p w14:paraId="559C3E92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Mit dem neuen Release wird das Produkt in KABQ umbenannt. Der neue Name steht für „</w:t>
      </w:r>
      <w:proofErr w:type="gram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KAB Quality</w:t>
      </w:r>
      <w:proofErr w:type="gram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“ und reflektiert die Weiterentwicklung vom einfachen Wiki hin zu einem umfassenden Werkzeug für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-konforme Dokumentation, Qualitätsmanagement und Compliance.</w:t>
      </w:r>
    </w:p>
    <w:p w14:paraId="6619540F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Die Umbenennung betrifft: - Oberfläche und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Loginseite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- interne Systembezeichnungen und Hilfetexte - Validierungsunterlagen und Benutzerinformationen</w:t>
      </w:r>
    </w:p>
    <w:p w14:paraId="74BAA84D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Benutzer werden im Rahmen der Schulung über die Umstellung informiert. Funktional bleiben alle bestehenden Inhalte erhalten.</w:t>
      </w:r>
    </w:p>
    <w:p w14:paraId="37D77E8B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  <w:lastRenderedPageBreak/>
        <w:t>3. Risikobewertung (GAMP5 und EU GMP Annex 11-konform)</w:t>
      </w:r>
    </w:p>
    <w:p w14:paraId="611E7BFA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Die Risikobewertung erfolgt gemäß dem risikobasierten Ansatz aus GAMP 5 sowie unter Einbeziehung der Anforderungen aus dem 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EU GMP Annex 11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. Dabei liegt der Fokus auf Risiken für Produktqualität, Patientensicherheit und Datenintegrität.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1697"/>
        <w:gridCol w:w="2290"/>
        <w:gridCol w:w="1079"/>
        <w:gridCol w:w="2207"/>
      </w:tblGrid>
      <w:tr w:rsidR="00634861" w:rsidRPr="00634861" w14:paraId="6944D465" w14:textId="77777777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69870BB8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Risiko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7CD9933E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Beschreibung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41F2A5F6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Eintrittswahrscheinlichkeit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14D5B28D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Auswirkung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CECEC"/>
            <w:vAlign w:val="center"/>
            <w:hideMark/>
          </w:tcPr>
          <w:p w14:paraId="652F7914" w14:textId="77777777" w:rsidR="00634861" w:rsidRPr="00634861" w:rsidRDefault="00634861" w:rsidP="0063486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lang w:eastAsia="de-DE"/>
                <w14:ligatures w14:val="none"/>
              </w:rPr>
              <w:t>Maßnahmen</w:t>
            </w:r>
          </w:p>
        </w:tc>
      </w:tr>
      <w:tr w:rsidR="00634861" w:rsidRPr="00634861" w14:paraId="55D725DB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095289F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t>Datenintegrität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5440DE4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Datenkonsistenz bei Migration oder durch neue Funktionen gefährdet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5ED5AB29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Niedrig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6141ABD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Hoch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C528C25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Validierte Datenmigration mit Abgleich Alt-/Neusystem, Audit-Trail-Tests im OQ, unveränderbare Historie</w:t>
            </w:r>
          </w:p>
        </w:tc>
      </w:tr>
      <w:tr w:rsidR="00634861" w:rsidRPr="00634861" w14:paraId="45A02FBF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9D42829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t>Systemverfügbarkeit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B15926D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Neue Infrastruktur führt zu Instabilität oder Ausfällen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9F17CC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Niedrig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360A96D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Mittel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E509CE8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Infrastrukturqualifizierung (IQ), redundante Cloud-Architektur (Lambda), Failover- und Backup-Konzepte</w:t>
            </w:r>
          </w:p>
        </w:tc>
      </w:tr>
      <w:tr w:rsidR="00634861" w:rsidRPr="00634861" w14:paraId="2E491EC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D548675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t>Compliance-Fehlfunktionen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EB708B4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Neue </w:t>
            </w:r>
            <w:proofErr w:type="spellStart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GxP</w:t>
            </w:r>
            <w:proofErr w:type="spellEnd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-Funktionen verhalten sich fehlerhaft (z. B. Audit-Trail, Signatur)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ED59ED4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Niedrig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3B291F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Hoch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CA558B6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URS/FDS-Prüfung, Testabdeckung durch OQ/PQ, Validierungsdokumentation gem. Annex 11 Abschnitte 4, 7, 12</w:t>
            </w:r>
          </w:p>
        </w:tc>
      </w:tr>
      <w:tr w:rsidR="00634861" w:rsidRPr="00634861" w14:paraId="715D271D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62E77E8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t>IT-Sicherheitsrisiken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7FBAE149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Unsichere Schnittstellen oder Konfigurationen in Cloud-Umgebung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F619DD6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Mittel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EF0FF60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Hoch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E81B72E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ISO 27001-konforme Sicherheitsprozesse, Penetrationstest vor Go-Live, rollenbasierte Zugriffskontrollen</w:t>
            </w:r>
          </w:p>
        </w:tc>
      </w:tr>
      <w:tr w:rsidR="00634861" w:rsidRPr="00634861" w14:paraId="79009104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DB287B6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t>Fehlende Akzeptanz / Schulungsbedarf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650D147A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Benutzer könnten neue Oberfläche oder Abläufe nicht verstehen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1D77179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Mittel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129110B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Gering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F7F7D8F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FUT mit Key Usern, SOP-Updates, gezielte Schulungskampagne, Übergangsphase mit Support</w:t>
            </w:r>
          </w:p>
        </w:tc>
      </w:tr>
      <w:tr w:rsidR="00634861" w:rsidRPr="00634861" w14:paraId="6FBDB44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5C84964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bdr w:val="single" w:sz="2" w:space="0" w:color="E5E7EB" w:frame="1"/>
                <w:lang w:eastAsia="de-DE"/>
                <w14:ligatures w14:val="none"/>
              </w:rPr>
              <w:lastRenderedPageBreak/>
              <w:t>Wissensverlust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0FB45806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Know-how-Verlust durch Wechsel des Entwicklungspartners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4A197BA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Niedrig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1646813B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Mittel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29D872ED" w14:textId="77777777" w:rsidR="00634861" w:rsidRPr="00634861" w:rsidRDefault="00634861" w:rsidP="0063486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</w:pPr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 xml:space="preserve">Übergabeprozess von NUBS an </w:t>
            </w:r>
            <w:proofErr w:type="spellStart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codecentric</w:t>
            </w:r>
            <w:proofErr w:type="spellEnd"/>
            <w:r w:rsidRPr="00634861">
              <w:rPr>
                <w:rFonts w:ascii="Segoe UI" w:eastAsia="Times New Roman" w:hAnsi="Segoe UI" w:cs="Segoe UI"/>
                <w:color w:val="000000"/>
                <w:kern w:val="0"/>
                <w:lang w:eastAsia="de-DE"/>
                <w14:ligatures w14:val="none"/>
              </w:rPr>
              <w:t>, Dokumentation bestehender Module, strukturierte Codereviews</w:t>
            </w:r>
          </w:p>
        </w:tc>
      </w:tr>
    </w:tbl>
    <w:p w14:paraId="5BBAF5BE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bdr w:val="single" w:sz="2" w:space="0" w:color="E5E7EB" w:frame="1"/>
          <w:lang w:eastAsia="de-DE"/>
          <w14:ligatures w14:val="none"/>
        </w:rPr>
        <w:t>4. Validierungsstrategie und Qualitätssicherung</w:t>
      </w:r>
    </w:p>
    <w:p w14:paraId="2E7258F5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Die Validierung erfolgt auf Basis eines risikobasierten Validierungsplans, der folgende Phasen umfasst:</w:t>
      </w:r>
    </w:p>
    <w:p w14:paraId="73CB8E29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U</w:t>
      </w: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RS-Erstellung und Review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für alle kritischen Funktionen</w:t>
      </w:r>
    </w:p>
    <w:p w14:paraId="6319AEF5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Design- und Codereview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mit dokumentierten Ergebnissen</w:t>
      </w:r>
    </w:p>
    <w:p w14:paraId="6B59D4C7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IQ (Installationsqualifizierung) 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der neuen AWS-Umgebung</w:t>
      </w:r>
    </w:p>
    <w:p w14:paraId="7044C615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OQ (Funktionsqualifizierung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): Test der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-relevanten Funktionen inkl. Audit-Trail, Signaturen, Rechtevergabe,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Dokumentenversionierung</w:t>
      </w:r>
      <w:proofErr w:type="spellEnd"/>
    </w:p>
    <w:p w14:paraId="19701422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PQ (Leistungsqualifizierung)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: Durchführung produktionsnaher Tests inkl. Friendly User Tests</w:t>
      </w:r>
    </w:p>
    <w:p w14:paraId="7BC1239B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SOP-Review und Benutzertrainings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 vor Go-Live</w:t>
      </w:r>
    </w:p>
    <w:p w14:paraId="3B7FE78C" w14:textId="77777777" w:rsidR="00634861" w:rsidRPr="00634861" w:rsidRDefault="00634861" w:rsidP="00634861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21"/>
          <w:szCs w:val="21"/>
          <w:bdr w:val="single" w:sz="2" w:space="0" w:color="E5E7EB" w:frame="1"/>
          <w:lang w:eastAsia="de-DE"/>
          <w14:ligatures w14:val="none"/>
        </w:rPr>
        <w:t>Abschlussbericht und formale Freigab</w:t>
      </w: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e durch QA und Systemverantwortliche</w:t>
      </w:r>
    </w:p>
    <w:p w14:paraId="34E2B177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Alle Validierungsunterlagen (Testprotokolle,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Traceability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 Matrix, Risikoanalysen) werden im Validierungspaket archiviert und stehen für Audits zur Verfügung.</w:t>
      </w:r>
    </w:p>
    <w:p w14:paraId="77BEE045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lang w:eastAsia="de-DE"/>
          <w14:ligatures w14:val="none"/>
        </w:rPr>
      </w:pPr>
      <w:r w:rsidRPr="00634861">
        <w:rPr>
          <w:rFonts w:ascii="Arial" w:eastAsia="Times New Roman" w:hAnsi="Arial" w:cs="Arial"/>
          <w:b/>
          <w:bCs/>
          <w:color w:val="3C3D03"/>
          <w:kern w:val="0"/>
          <w:sz w:val="36"/>
          <w:szCs w:val="36"/>
          <w:bdr w:val="single" w:sz="2" w:space="0" w:color="E5E7EB" w:frame="1"/>
          <w:lang w:eastAsia="de-DE"/>
          <w14:ligatures w14:val="none"/>
        </w:rPr>
        <w:t>5. Fazit und Freigabeempfehlung</w:t>
      </w:r>
    </w:p>
    <w:p w14:paraId="70AEA030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Mit dem Release KABQ wird ein System bereitgestellt, das die bisherigen Stärken von KAB-Wiki beibehält und gleichzeitig technologische, regulatorische und organisatorische Verbesserungen integriert. Die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Serverless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-Architektur, die neue Partnerschaft mit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codecentric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, die gezielte Erweiterung um Annex 11-konforme Funktionen sowie die geplanten Friendly User Tests stellen sicher, dass das System auch in Zukunft auditfest, skalierbar und benutzerfreundlich bleibt.</w:t>
      </w:r>
    </w:p>
    <w:p w14:paraId="76444BA4" w14:textId="77777777" w:rsidR="00634861" w:rsidRPr="00634861" w:rsidRDefault="00634861" w:rsidP="0063486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</w:pPr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 xml:space="preserve">Durch die durchgeführte Risikobewertung, die strukturierte Validierungsstrategie und die Qualitätssicherungsmaßnahmen kann der Release als </w:t>
      </w:r>
      <w:proofErr w:type="spellStart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GxP</w:t>
      </w:r>
      <w:proofErr w:type="spellEnd"/>
      <w:r w:rsidRPr="00634861">
        <w:rPr>
          <w:rFonts w:ascii="Arial" w:eastAsia="Times New Roman" w:hAnsi="Arial" w:cs="Arial"/>
          <w:color w:val="3C3D03"/>
          <w:kern w:val="0"/>
          <w:sz w:val="21"/>
          <w:szCs w:val="21"/>
          <w:lang w:eastAsia="de-DE"/>
          <w14:ligatures w14:val="none"/>
        </w:rPr>
        <w:t>-konform und freigabefähig eingestuft werden. Nach Durchführung aller finalen Testschritte und formaler Abnahme durch QA wird der Go-Live empfohlen.</w:t>
      </w:r>
    </w:p>
    <w:p w14:paraId="29442877" w14:textId="77777777" w:rsidR="001018B5" w:rsidRDefault="001018B5"/>
    <w:sectPr w:rsidR="00101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2CE"/>
    <w:multiLevelType w:val="multilevel"/>
    <w:tmpl w:val="8C2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B0CEB"/>
    <w:multiLevelType w:val="multilevel"/>
    <w:tmpl w:val="9E0E0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3966C3"/>
    <w:multiLevelType w:val="multilevel"/>
    <w:tmpl w:val="24B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54A23"/>
    <w:multiLevelType w:val="multilevel"/>
    <w:tmpl w:val="B02C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06E55"/>
    <w:multiLevelType w:val="multilevel"/>
    <w:tmpl w:val="295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60214">
    <w:abstractNumId w:val="1"/>
  </w:num>
  <w:num w:numId="2" w16cid:durableId="792284597">
    <w:abstractNumId w:val="0"/>
  </w:num>
  <w:num w:numId="3" w16cid:durableId="191041958">
    <w:abstractNumId w:val="3"/>
  </w:num>
  <w:num w:numId="4" w16cid:durableId="280039374">
    <w:abstractNumId w:val="2"/>
  </w:num>
  <w:num w:numId="5" w16cid:durableId="1117018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61"/>
    <w:rsid w:val="00053941"/>
    <w:rsid w:val="00063AC0"/>
    <w:rsid w:val="001018B5"/>
    <w:rsid w:val="003E2D10"/>
    <w:rsid w:val="00412D3E"/>
    <w:rsid w:val="00634861"/>
    <w:rsid w:val="007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092D89"/>
  <w15:chartTrackingRefBased/>
  <w15:docId w15:val="{3A8F838A-44F6-B944-909C-0302F36A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4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34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34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4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4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4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4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4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4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4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34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34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486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486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486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486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486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48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4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4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4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4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48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48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48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4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48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4861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634861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3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63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1413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Ingo Becker</dc:creator>
  <cp:keywords/>
  <dc:description/>
  <cp:lastModifiedBy>Ingo Becker</cp:lastModifiedBy>
  <cp:revision>1</cp:revision>
  <dcterms:created xsi:type="dcterms:W3CDTF">2025-10-20T16:17:00Z</dcterms:created>
  <dcterms:modified xsi:type="dcterms:W3CDTF">2025-10-20T16:19:00Z</dcterms:modified>
</cp:coreProperties>
</file>